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0" w:leader="none"/>
        </w:tabs>
        <w:suppressAutoHyphens w:val="true"/>
        <w:spacing w:lineRule="auto" w:line="276" w:before="0" w:after="200"/>
        <w:contextualSpacing/>
        <w:jc w:val="center"/>
        <w:rPr/>
      </w:pPr>
      <w:r>
        <w:rPr>
          <w:b/>
          <w:sz w:val="26"/>
          <w:szCs w:val="26"/>
        </w:rPr>
        <w:t>Требования к Участнику закупки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contextualSpacing/>
        <w:jc w:val="both"/>
        <w:rPr/>
      </w:pPr>
      <w:r>
        <w:rPr>
          <w:sz w:val="26"/>
          <w:szCs w:val="26"/>
        </w:rPr>
        <w:tab/>
        <w:t>1.</w:t>
      </w:r>
      <w:r>
        <w:rPr>
          <w:rFonts w:cs="Calibri"/>
          <w:sz w:val="26"/>
          <w:szCs w:val="26"/>
          <w:lang w:eastAsia="ar-SA"/>
        </w:rPr>
        <w:t xml:space="preserve"> </w:t>
      </w:r>
      <w:r>
        <w:rPr>
          <w:sz w:val="26"/>
          <w:szCs w:val="26"/>
          <w:lang w:eastAsia="ar-SA"/>
        </w:rPr>
        <w:t xml:space="preserve">У </w:t>
      </w:r>
      <w:r>
        <w:rPr>
          <w:sz w:val="26"/>
          <w:szCs w:val="26"/>
        </w:rPr>
        <w:t xml:space="preserve">участника закупки, для выполнения заявленных услуг наличие лицензии выданной Министерством РФ по делам гражданской обороны, чрезвычайных ситуаций и ликвидации последствий стихийных бедствий на производство работ по монтажу, ремонту и обслуживанию средств обеспечения пожарной безопасности зданий и сооружений, являющейся действующей на момент подачи заявки, согласно п.15, ст. 12 Федеральный закон от 04.05.2011 N 99-ФЗ «О лицензировании отдельных видов деятельности» на проведение данного вида работ обязательно. 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составе заявки Участник должен предоставить её копию.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uppressAutoHyphens w:val="true"/>
        <w:spacing w:lineRule="auto" w:line="276" w:before="0" w:after="200"/>
        <w:ind w:firstLine="426"/>
        <w:contextualSpacing/>
        <w:rPr/>
      </w:pPr>
      <w:r>
        <w:rPr>
          <w:sz w:val="26"/>
          <w:szCs w:val="26"/>
        </w:rPr>
        <w:tab/>
        <w:t>1</w:t>
      </w:r>
      <w:r>
        <w:rPr>
          <w:bCs/>
          <w:sz w:val="26"/>
          <w:szCs w:val="26"/>
        </w:rPr>
        <w:t>.2. Наличие кадрового состава: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ind w:firstLine="709"/>
        <w:contextualSpacing/>
        <w:jc w:val="both"/>
        <w:rPr/>
      </w:pPr>
      <w:r>
        <w:rPr>
          <w:bCs/>
          <w:sz w:val="26"/>
          <w:szCs w:val="26"/>
        </w:rPr>
        <w:t>1.2.1.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договорам, либо планируемого к привлечению), указанного в Таблице 1 к настоящим техническим требованиям.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contextualSpacing/>
        <w:jc w:val="both"/>
        <w:rPr/>
      </w:pPr>
      <w:r>
        <w:rPr/>
        <w:tab/>
        <w:t>Таблица 1</w:t>
      </w:r>
    </w:p>
    <w:tbl>
      <w:tblPr>
        <w:tblW w:w="9497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5860"/>
        <w:gridCol w:w="2928"/>
      </w:tblGrid>
      <w:tr>
        <w:trPr>
          <w:trHeight w:val="676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160"/>
              <w:jc w:val="center"/>
              <w:textAlignment w:val="baseline"/>
              <w:rPr>
                <w:bCs/>
                <w:i/>
                <w:i/>
                <w:sz w:val="26"/>
                <w:szCs w:val="26"/>
                <w:lang w:eastAsia="ar-SA"/>
              </w:rPr>
            </w:pPr>
            <w:r>
              <w:rPr>
                <w:bCs/>
                <w:i/>
                <w:sz w:val="26"/>
                <w:szCs w:val="26"/>
                <w:lang w:eastAsia="ar-SA"/>
              </w:rPr>
              <w:t xml:space="preserve">№ </w:t>
            </w:r>
            <w:r>
              <w:rPr>
                <w:bCs/>
                <w:i/>
                <w:sz w:val="26"/>
                <w:szCs w:val="26"/>
                <w:lang w:eastAsia="ar-SA"/>
              </w:rPr>
              <w:t>п/п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60"/>
              <w:jc w:val="center"/>
              <w:textAlignment w:val="baseline"/>
              <w:rPr>
                <w:bCs/>
                <w:i/>
                <w:i/>
                <w:sz w:val="26"/>
                <w:szCs w:val="26"/>
                <w:lang w:eastAsia="ar-SA"/>
              </w:rPr>
            </w:pPr>
            <w:r>
              <w:rPr>
                <w:bCs/>
                <w:i/>
                <w:sz w:val="26"/>
                <w:szCs w:val="26"/>
                <w:lang w:eastAsia="ar-SA"/>
              </w:rPr>
              <w:t>Персонал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60"/>
              <w:jc w:val="center"/>
              <w:textAlignment w:val="baseline"/>
              <w:rPr/>
            </w:pPr>
            <w:r>
              <w:rPr>
                <w:bCs/>
                <w:i/>
                <w:sz w:val="26"/>
                <w:szCs w:val="26"/>
                <w:lang w:eastAsia="ar-SA"/>
              </w:rPr>
              <w:t>Минимальное количество, чел</w:t>
            </w:r>
            <w:r>
              <w:rPr>
                <w:bCs/>
                <w:i/>
                <w:sz w:val="26"/>
                <w:szCs w:val="26"/>
                <w:lang w:val="en-US" w:eastAsia="ar-SA"/>
              </w:rPr>
              <w:t>*</w:t>
            </w:r>
          </w:p>
        </w:tc>
      </w:tr>
      <w:tr>
        <w:trPr>
          <w:trHeight w:val="417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160"/>
              <w:jc w:val="center"/>
              <w:textAlignment w:val="baseline"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1.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uppressAutoHyphens w:val="true"/>
              <w:spacing w:lineRule="auto" w:line="276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Электромонтер ОПС 3 или 4 разряда</w:t>
            </w:r>
          </w:p>
          <w:p>
            <w:pPr>
              <w:pStyle w:val="Normal"/>
              <w:widowControl w:val="false"/>
              <w:shd w:val="clear" w:fill="FFFFFF"/>
              <w:spacing w:lineRule="auto" w:line="276"/>
              <w:rPr>
                <w:rFonts w:eastAsia="Calibri"/>
                <w:sz w:val="26"/>
                <w:szCs w:val="26"/>
                <w:lang w:eastAsia="ar-SA"/>
              </w:rPr>
            </w:pPr>
            <w:r>
              <w:rPr>
                <w:rFonts w:eastAsia="Calibri"/>
                <w:sz w:val="26"/>
                <w:szCs w:val="26"/>
                <w:lang w:eastAsia="ar-SA"/>
              </w:rPr>
              <w:t xml:space="preserve">Техник по эксплуатации систем вентиляции и дымоудаления </w:t>
            </w:r>
          </w:p>
          <w:p>
            <w:pPr>
              <w:pStyle w:val="Normal"/>
              <w:widowControl w:val="false"/>
              <w:shd w:val="clear" w:fill="FFFFFF"/>
              <w:suppressAutoHyphens w:val="true"/>
              <w:spacing w:lineRule="auto" w:line="276" w:before="0" w:after="160"/>
              <w:rPr>
                <w:rFonts w:eastAsia="Calibri"/>
                <w:sz w:val="26"/>
                <w:szCs w:val="26"/>
                <w:lang w:eastAsia="ar-SA"/>
              </w:rPr>
            </w:pPr>
            <w:r>
              <w:rPr>
                <w:rFonts w:eastAsia="Calibri"/>
                <w:sz w:val="26"/>
                <w:szCs w:val="26"/>
                <w:lang w:eastAsia="ar-SA"/>
              </w:rPr>
              <w:t>Техник (специалист) по обслуживанию систем пожаротушения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uppressAutoHyphens w:val="true"/>
              <w:spacing w:lineRule="auto" w:line="276" w:before="0" w:after="160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4</w:t>
            </w:r>
          </w:p>
        </w:tc>
      </w:tr>
      <w:tr>
        <w:trPr>
          <w:trHeight w:val="359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160"/>
              <w:jc w:val="center"/>
              <w:textAlignment w:val="baseline"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2.</w:t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uppressAutoHyphens w:val="true"/>
              <w:spacing w:lineRule="auto" w:line="276" w:before="0" w:after="160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 xml:space="preserve">Инженер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fill="FFFFFF"/>
              <w:suppressAutoHyphens w:val="true"/>
              <w:spacing w:lineRule="auto" w:line="276" w:before="0" w:after="160"/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1</w:t>
            </w:r>
          </w:p>
        </w:tc>
      </w:tr>
      <w:tr>
        <w:trPr>
          <w:trHeight w:val="359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76" w:before="0" w:after="160"/>
              <w:textAlignment w:val="baseline"/>
              <w:rPr>
                <w:rFonts w:ascii="Calibri" w:hAnsi="Calibri" w:cs="Calibri"/>
                <w:bCs/>
                <w:sz w:val="26"/>
                <w:szCs w:val="26"/>
                <w:lang w:eastAsia="ar-SA"/>
              </w:rPr>
            </w:pPr>
            <w:r>
              <w:rPr>
                <w:rFonts w:cs="Calibri"/>
                <w:bCs/>
                <w:sz w:val="26"/>
                <w:szCs w:val="26"/>
                <w:lang w:eastAsia="ar-SA"/>
              </w:rPr>
            </w:r>
          </w:p>
        </w:tc>
        <w:tc>
          <w:tcPr>
            <w:tcW w:w="5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160"/>
              <w:textAlignment w:val="baseline"/>
              <w:rPr>
                <w:b/>
                <w:b/>
                <w:bCs/>
                <w:sz w:val="26"/>
                <w:szCs w:val="26"/>
                <w:lang w:eastAsia="ar-SA"/>
              </w:rPr>
            </w:pPr>
            <w:r>
              <w:rPr>
                <w:b/>
                <w:bCs/>
                <w:sz w:val="26"/>
                <w:szCs w:val="26"/>
                <w:lang w:eastAsia="ar-SA"/>
              </w:rPr>
              <w:t>Всего: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160"/>
              <w:jc w:val="center"/>
              <w:rPr>
                <w:b/>
                <w:b/>
                <w:bCs/>
                <w:sz w:val="26"/>
                <w:szCs w:val="26"/>
                <w:lang w:eastAsia="ar-SA"/>
              </w:rPr>
            </w:pPr>
            <w:r>
              <w:rPr>
                <w:b/>
                <w:bCs/>
                <w:sz w:val="26"/>
                <w:szCs w:val="26"/>
                <w:lang w:eastAsia="ar-SA"/>
              </w:rPr>
              <w:t>5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ind w:firstLine="709"/>
        <w:contextualSpacing/>
        <w:jc w:val="both"/>
        <w:rPr/>
      </w:pPr>
      <w:r>
        <w:rPr>
          <w:bCs/>
          <w:sz w:val="26"/>
          <w:szCs w:val="26"/>
        </w:rPr>
        <w:t xml:space="preserve">* </w:t>
      </w:r>
      <w:r>
        <w:rPr>
          <w:bCs/>
          <w:i/>
          <w:sz w:val="26"/>
          <w:szCs w:val="26"/>
        </w:rPr>
        <w:t>определено в соответствии с требованиями РТМ 25.488-82 (Руководящий технический материал). Установки пожаротушения автоматические и установки пожарной, охранно – пожарной сигнализации, нормативы численности персонала, занимающегося техническим обслуживанием и текущим ремонтом. Утвержден и введен в действие директивным указанием Министерства приборостроения, средств автоматизации и систем управления от 30 сентября 1982 г. N 24-6/6-4134.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ind w:firstLine="70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1.2.2. Соответствие требованию, установленному в п. 1.2.1., подтверждается путем представления Участником закупки в составе своей заявки сведений о кадровых ресурсах по форме «Справки о кадровых ресурсах», приведенной в Документации о закупке.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ind w:firstLine="709"/>
        <w:contextualSpacing/>
        <w:jc w:val="both"/>
        <w:rPr/>
      </w:pPr>
      <w:r>
        <w:rPr>
          <w:bCs/>
          <w:sz w:val="26"/>
          <w:szCs w:val="26"/>
        </w:rPr>
        <w:t xml:space="preserve">1.2.3. Кадровый ресурс для оказания услуг должен быть подготовлен для выполнения работ на высоте в соответствии с требованиями п. 7. Правила по охране труда при работе на высоте (утверждённых приказом Минтруда России от 28.03.2014 №155 Н «Об утверждении правил по охране труда при работе на высоте»).  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ind w:firstLine="709"/>
        <w:contextualSpacing/>
        <w:jc w:val="both"/>
        <w:rPr/>
      </w:pPr>
      <w:r>
        <w:rPr>
          <w:bCs/>
          <w:sz w:val="26"/>
          <w:szCs w:val="26"/>
        </w:rPr>
        <w:t>Данные сведения должны быть подтверждены копиями протоколов, удостоверений по проверке знаний по охране труда при работе на высоте, на персонал, указанный в таблице № 1.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ind w:firstLine="709"/>
        <w:contextualSpacing/>
        <w:jc w:val="both"/>
        <w:rPr/>
      </w:pPr>
      <w:r>
        <w:rPr>
          <w:bCs/>
          <w:sz w:val="26"/>
          <w:szCs w:val="26"/>
        </w:rPr>
        <w:t xml:space="preserve">1.2.4. Кадровый ресурс для оказания услуг должен быть подготовлен для выполнения работ по 3-4 группе допуска по электробезопасности для работы в действующих электроустановках в соответствии с требованиями пунктов п. 2.4. Правила по охране труда при эксплуатации электроустановок (утверждённых 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приказом Минтруда России от 24.07.2013 №328 Н «Об утверждении правил по охране труда при эксплуатации электроустановок»).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ind w:firstLine="709"/>
        <w:contextualSpacing/>
        <w:jc w:val="both"/>
        <w:rPr/>
      </w:pPr>
      <w:r>
        <w:rPr>
          <w:bCs/>
          <w:sz w:val="26"/>
          <w:szCs w:val="26"/>
        </w:rPr>
        <w:t>Данные сведения должны быть подтверждены копиями протоколов, удостоверений по проверке знаний по охране труда при эксплуатации электроустановок, на персонал, указанный в таблице № 1.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contextualSpacing/>
        <w:jc w:val="both"/>
        <w:rPr/>
      </w:pPr>
      <w:r>
        <w:rPr>
          <w:sz w:val="26"/>
          <w:szCs w:val="26"/>
        </w:rPr>
        <w:tab/>
        <w:t>1.3. Оказывать услуги по</w:t>
      </w:r>
      <w:r>
        <w:rPr>
          <w:bCs/>
          <w:sz w:val="26"/>
          <w:szCs w:val="26"/>
        </w:rPr>
        <w:t xml:space="preserve"> техническому обслуживанию </w:t>
      </w:r>
      <w:r>
        <w:rPr>
          <w:sz w:val="26"/>
          <w:szCs w:val="26"/>
        </w:rPr>
        <w:t xml:space="preserve">средств обеспечения пожарной безопасности зданий и сооружений объектов Заказчика только силами своей организации, </w:t>
      </w:r>
      <w:r>
        <w:rPr>
          <w:b/>
          <w:i/>
          <w:sz w:val="26"/>
          <w:szCs w:val="26"/>
        </w:rPr>
        <w:t>без передачи права на обслуживание объектов Заказчика персоналу другой организации.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contextualSpacing/>
        <w:jc w:val="both"/>
        <w:rPr/>
      </w:pPr>
      <w:r>
        <w:rPr>
          <w:b/>
          <w:bCs w:val="false"/>
          <w:i/>
          <w:sz w:val="26"/>
          <w:szCs w:val="26"/>
        </w:rPr>
        <w:tab/>
      </w:r>
      <w:r>
        <w:rPr>
          <w:b w:val="false"/>
          <w:bCs w:val="false"/>
          <w:i/>
          <w:sz w:val="26"/>
          <w:szCs w:val="26"/>
        </w:rPr>
        <w:t>1</w:t>
      </w:r>
      <w:r>
        <w:rPr>
          <w:sz w:val="26"/>
          <w:szCs w:val="26"/>
        </w:rPr>
        <w:t>.4. В соответствии с требованиями «СП 48.13330.2011. Свод правил. Организация строительства. Актуализированная редакция СНиП 12-01-2004»</w:t>
        <w:br/>
        <w:t>(утв. Приказом Минрегиона РФ от 27.12.2010 N 781) предусмотреть организацию контроля за выполнением работ со стороны заказчика.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contextualSpacing/>
        <w:jc w:val="both"/>
        <w:rPr/>
      </w:pPr>
      <w:r>
        <w:rPr>
          <w:sz w:val="26"/>
          <w:szCs w:val="26"/>
        </w:rPr>
        <w:tab/>
        <w:t xml:space="preserve">1.5. </w:t>
      </w:r>
      <w:r>
        <w:rPr>
          <w:rFonts w:eastAsia="Times New Roman" w:cs="Times New Roman"/>
          <w:i w:val="false"/>
          <w:iCs w:val="false"/>
          <w:kern w:val="0"/>
          <w:sz w:val="26"/>
          <w:szCs w:val="26"/>
          <w:lang w:val="ru-RU" w:eastAsia="ru-RU" w:bidi="ar-SA"/>
        </w:rPr>
        <w:t>Ответственные лица от имени Исполнителя, участвующие в техническом обслуживании, ведут журнал производства работ по техническому обслуживанию на каждом объекте, представляют сводный акт ответственному по структурному подразделению (ПЮЭС, ПЦЭС, ПЗЭС, ПСЭС) ежемесячно с указанием всех объектов.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contextualSpacing/>
        <w:jc w:val="both"/>
        <w:rPr/>
      </w:pPr>
      <w:r>
        <w:rPr>
          <w:rFonts w:eastAsia="Times New Roman" w:cs="Times New Roman"/>
          <w:i w:val="false"/>
          <w:iCs w:val="false"/>
          <w:kern w:val="0"/>
          <w:sz w:val="26"/>
          <w:szCs w:val="26"/>
          <w:lang w:val="ru-RU" w:eastAsia="ru-RU" w:bidi="ar-SA"/>
        </w:rPr>
        <w:tab/>
        <w:t xml:space="preserve">1.6. </w:t>
      </w:r>
      <w:r>
        <w:rPr>
          <w:rFonts w:eastAsia="Times New Roman" w:cs="Times New Roman"/>
          <w:i/>
          <w:iCs/>
          <w:kern w:val="0"/>
          <w:sz w:val="26"/>
          <w:szCs w:val="26"/>
          <w:lang w:val="ru-RU" w:eastAsia="ru-RU" w:bidi="ar-SA"/>
        </w:rPr>
        <w:t>Исполнитель передает заказчику через ответственного по филиалу акт приемки-сдачи оказанных услуг в двух экземплярах по установленной форме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0" w:after="0"/>
        <w:contextualSpacing/>
        <w:jc w:val="both"/>
        <w:rPr/>
      </w:pPr>
      <w:r>
        <w:rPr>
          <w:rFonts w:eastAsia="Times New Roman" w:cs="Times New Roman"/>
          <w:i/>
          <w:iCs/>
          <w:kern w:val="0"/>
          <w:sz w:val="26"/>
          <w:szCs w:val="26"/>
          <w:lang w:val="ru-RU" w:eastAsia="ru-RU" w:bidi="ar-SA"/>
        </w:rPr>
        <w:tab/>
        <w:t>1.7. Услуги должны осуществляться в соответствии с нормативно-техническими документами (НТД) и нормативно-правовыми актами (НПА):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426" w:leader="none"/>
        </w:tabs>
        <w:suppressAutoHyphens w:val="true"/>
        <w:spacing w:before="60" w:after="0"/>
        <w:ind w:left="227" w:hanging="0"/>
        <w:jc w:val="left"/>
        <w:rPr>
          <w:sz w:val="26"/>
          <w:szCs w:val="26"/>
        </w:rPr>
      </w:pPr>
      <w:r>
        <w:rPr>
          <w:rFonts w:eastAsia="Times New Roman" w:cs="Times New Roman"/>
          <w:bCs/>
          <w:i/>
          <w:kern w:val="0"/>
          <w:sz w:val="26"/>
          <w:szCs w:val="26"/>
          <w:lang w:val="ru-RU" w:eastAsia="ru-RU" w:bidi="ar-SA"/>
        </w:rPr>
        <w:t>- ФЗ-69 от 21.12.1994г. «О пожарной безопасности».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426" w:leader="none"/>
        </w:tabs>
        <w:suppressAutoHyphens w:val="true"/>
        <w:spacing w:before="60" w:after="0"/>
        <w:ind w:left="227" w:hanging="0"/>
        <w:jc w:val="left"/>
        <w:rPr>
          <w:sz w:val="26"/>
          <w:szCs w:val="26"/>
        </w:rPr>
      </w:pPr>
      <w:r>
        <w:rPr>
          <w:rFonts w:eastAsia="Times New Roman" w:cs="Times New Roman"/>
          <w:bCs/>
          <w:i/>
          <w:kern w:val="0"/>
          <w:sz w:val="26"/>
          <w:szCs w:val="26"/>
          <w:lang w:val="ru-RU" w:eastAsia="ru-RU" w:bidi="ar-SA"/>
        </w:rPr>
        <w:t>- Федеральный закон от 04.05.2011 № 99-ФЗ «О лицензировании отдельных видов деятельности».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426" w:leader="none"/>
        </w:tabs>
        <w:suppressAutoHyphens w:val="true"/>
        <w:spacing w:before="60" w:after="0"/>
        <w:ind w:left="227" w:hanging="0"/>
        <w:jc w:val="left"/>
        <w:rPr>
          <w:sz w:val="26"/>
          <w:szCs w:val="26"/>
        </w:rPr>
      </w:pPr>
      <w:r>
        <w:rPr>
          <w:rFonts w:eastAsia="Times New Roman" w:cs="Times New Roman"/>
          <w:bCs/>
          <w:i/>
          <w:kern w:val="0"/>
          <w:sz w:val="26"/>
          <w:szCs w:val="26"/>
          <w:lang w:val="ru-RU" w:eastAsia="ru-RU" w:bidi="ar-SA"/>
        </w:rPr>
        <w:t>- СП 486.1311500.2020 «Свод правил. 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Требования пожарной безопасности». (Утвержден и введен в действие Приказом МЧС от 20.07.2020 г. №539).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426" w:leader="none"/>
        </w:tabs>
        <w:suppressAutoHyphens w:val="true"/>
        <w:spacing w:before="60" w:after="0"/>
        <w:ind w:left="227" w:hanging="0"/>
        <w:jc w:val="left"/>
        <w:rPr>
          <w:sz w:val="26"/>
          <w:szCs w:val="26"/>
        </w:rPr>
      </w:pPr>
      <w:r>
        <w:rPr>
          <w:rFonts w:eastAsia="Times New Roman" w:cs="Times New Roman"/>
          <w:bCs/>
          <w:i/>
          <w:kern w:val="0"/>
          <w:sz w:val="26"/>
          <w:szCs w:val="26"/>
          <w:lang w:val="ru-RU" w:eastAsia="ru-RU" w:bidi="ar-SA"/>
        </w:rPr>
        <w:t>- СП 484.1311500.2020. «Свод правил. Системы противопожарной защиты. Системы пожарной сигнализации и автоматизация систем противопожарной защиты. Нормы и правила проектирования» (Утвержден и введен в действие Приказом МЧС от 31.07.2020 г. №582).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426" w:leader="none"/>
        </w:tabs>
        <w:suppressAutoHyphens w:val="true"/>
        <w:spacing w:before="60" w:after="0"/>
        <w:ind w:left="227" w:hanging="0"/>
        <w:jc w:val="left"/>
        <w:rPr>
          <w:sz w:val="26"/>
          <w:szCs w:val="26"/>
        </w:rPr>
      </w:pPr>
      <w:r>
        <w:rPr>
          <w:rFonts w:eastAsia="Times New Roman" w:cs="Times New Roman"/>
          <w:bCs/>
          <w:i/>
          <w:kern w:val="0"/>
          <w:sz w:val="26"/>
          <w:szCs w:val="26"/>
          <w:lang w:val="ru-RU" w:eastAsia="ru-RU" w:bidi="ar-SA"/>
        </w:rPr>
        <w:t>- СП 485.1311500.2020. Свод правил. Системы противопожарной защиты. Установки пожаротушения автоматические. Нормы и правила проектирования. (Утвержден и введен в действие Приказом МЧС от 31.08.2020 г. №628).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426" w:leader="none"/>
        </w:tabs>
        <w:suppressAutoHyphens w:val="true"/>
        <w:spacing w:before="60" w:after="0"/>
        <w:ind w:left="227" w:hanging="0"/>
        <w:jc w:val="left"/>
        <w:rPr>
          <w:sz w:val="26"/>
          <w:szCs w:val="26"/>
        </w:rPr>
      </w:pPr>
      <w:r>
        <w:rPr>
          <w:rFonts w:eastAsia="Times New Roman" w:cs="Times New Roman"/>
          <w:bCs/>
          <w:i/>
          <w:iCs/>
          <w:kern w:val="0"/>
          <w:sz w:val="26"/>
          <w:szCs w:val="26"/>
          <w:lang w:val="ru-RU" w:eastAsia="ru-RU" w:bidi="ar-SA"/>
        </w:rPr>
        <w:t>- ГОСТ Р 57974-2017 «Производственные услуги. Организация проведения проверки работоспособности систем и установок противопожарной защиты зданий и сооружений». (Утвержден и введен в действие Приказом Федерального агентства по техническому регулированию и метрологии от 21 ноября 2017 г. N 1794-ст).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426" w:leader="none"/>
        </w:tabs>
        <w:suppressAutoHyphens w:val="true"/>
        <w:spacing w:before="60" w:after="0"/>
        <w:ind w:left="227" w:hanging="0"/>
        <w:jc w:val="left"/>
        <w:rPr>
          <w:sz w:val="26"/>
          <w:szCs w:val="26"/>
        </w:rPr>
      </w:pPr>
      <w:r>
        <w:rPr>
          <w:rFonts w:eastAsia="Times New Roman" w:cs="Times New Roman"/>
          <w:bCs/>
          <w:i/>
          <w:iCs/>
          <w:kern w:val="0"/>
          <w:sz w:val="26"/>
          <w:szCs w:val="26"/>
          <w:lang w:val="ru-RU" w:eastAsia="ru-RU" w:bidi="ar-SA"/>
        </w:rPr>
        <w:t>- Постановление Правительства РФ от 16.09.2020 г. № 1479 «О противопожарном режиме».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426" w:leader="none"/>
        </w:tabs>
        <w:suppressAutoHyphens w:val="true"/>
        <w:spacing w:before="60" w:after="0"/>
        <w:ind w:left="227" w:hanging="0"/>
        <w:jc w:val="left"/>
        <w:rPr>
          <w:sz w:val="26"/>
          <w:szCs w:val="26"/>
        </w:rPr>
      </w:pPr>
      <w:r>
        <w:rPr>
          <w:rFonts w:eastAsia="Times New Roman" w:cs="Times New Roman"/>
          <w:bCs/>
          <w:i/>
          <w:iCs/>
          <w:kern w:val="0"/>
          <w:sz w:val="26"/>
          <w:szCs w:val="26"/>
          <w:lang w:val="ru-RU" w:eastAsia="ru-RU" w:bidi="ar-SA"/>
        </w:rPr>
        <w:t>- Постановления Правительства РФ от 28.07.2020 №1128 «Об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сооружений»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426" w:leader="none"/>
        </w:tabs>
        <w:suppressAutoHyphens w:val="true"/>
        <w:spacing w:before="60" w:after="0"/>
        <w:ind w:left="227" w:hanging="0"/>
        <w:jc w:val="left"/>
        <w:rPr>
          <w:sz w:val="26"/>
          <w:szCs w:val="26"/>
        </w:rPr>
      </w:pPr>
      <w:r>
        <w:rPr>
          <w:rFonts w:eastAsia="Times New Roman" w:cs="Times New Roman"/>
          <w:bCs/>
          <w:i/>
          <w:iCs/>
          <w:kern w:val="0"/>
          <w:sz w:val="26"/>
          <w:szCs w:val="26"/>
          <w:lang w:val="ru-RU" w:eastAsia="ru-RU" w:bidi="ar-SA"/>
        </w:rPr>
        <w:t>- Постановление Правительства РФ от 28.07.2020 №1128 «Об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сооружений».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0" w:leader="none"/>
        </w:tabs>
        <w:spacing w:before="0" w:after="0"/>
        <w:ind w:left="227" w:hanging="0"/>
        <w:contextualSpacing/>
        <w:jc w:val="both"/>
        <w:rPr>
          <w:rFonts w:eastAsia="Times New Roman" w:cs="Times New Roman"/>
          <w:bCs/>
          <w:i/>
          <w:i/>
          <w:iCs/>
          <w:kern w:val="0"/>
          <w:sz w:val="24"/>
          <w:szCs w:val="24"/>
          <w:lang w:val="ru-RU" w:eastAsia="ru-RU" w:bidi="ar-SA"/>
        </w:rPr>
      </w:pPr>
      <w:r>
        <w:rPr/>
      </w:r>
    </w:p>
    <w:p>
      <w:pPr>
        <w:pStyle w:val="Normal"/>
        <w:shd w:val="clear" w:fill="FFFFFF"/>
        <w:suppressAutoHyphens w:val="true"/>
        <w:spacing w:lineRule="auto" w:line="276" w:beforeAutospacing="1" w:after="198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Western" w:customStyle="1">
    <w:name w:val="western"/>
    <w:basedOn w:val="Normal"/>
    <w:qFormat/>
    <w:rsid w:val="00765bad"/>
    <w:pPr>
      <w:spacing w:lineRule="auto" w:line="360" w:beforeAutospacing="1" w:afterAutospacing="1"/>
      <w:jc w:val="both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numbering" w:styleId="Style20">
    <w:name w:val="Маркер •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Application>AlterOffice/3.2.10.1$Windows_X86_64 LibreOffice_project/fd4aef8cf5375f9cc83c908f13323775cf9f559f</Application>
  <AppVersion>15.0000</AppVersion>
  <Pages>3</Pages>
  <Words>737</Words>
  <Characters>5063</Characters>
  <CharactersWithSpaces>5765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2023-10-05T00:38:00Z</dcterms:created>
  <dc:creator>Кожанов Андрей Владимирович</dc:creator>
  <dc:description/>
  <dc:language>ru-RU</dc:language>
  <cp:lastModifiedBy/>
  <dcterms:modified xsi:type="dcterms:W3CDTF">2023-10-06T16:56:35Z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